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94A" w:rsidRDefault="0063594A">
      <w:pPr>
        <w:rPr>
          <w:rFonts w:ascii="黑体" w:eastAsia="黑体" w:hAnsi="黑体" w:cs="仿宋"/>
          <w:sz w:val="32"/>
          <w:szCs w:val="32"/>
        </w:rPr>
      </w:pPr>
      <w:r w:rsidRPr="006760A7">
        <w:rPr>
          <w:rFonts w:ascii="黑体" w:eastAsia="黑体" w:hAnsi="黑体" w:cs="仿宋"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5pt;height:579.75pt">
            <v:imagedata r:id="rId7" o:title=""/>
          </v:shape>
        </w:pict>
      </w:r>
    </w:p>
    <w:p w:rsidR="0063594A" w:rsidRDefault="0063594A">
      <w:pPr>
        <w:widowControl/>
        <w:autoSpaceDN w:val="0"/>
        <w:spacing w:line="576" w:lineRule="exact"/>
        <w:jc w:val="center"/>
        <w:rPr>
          <w:rFonts w:ascii="微软雅黑" w:eastAsia="微软雅黑" w:hAnsi="仿宋" w:cs="宋体"/>
          <w:bCs/>
          <w:kern w:val="0"/>
          <w:sz w:val="44"/>
          <w:szCs w:val="44"/>
        </w:rPr>
      </w:pPr>
    </w:p>
    <w:p w:rsidR="0063594A" w:rsidRDefault="0063594A">
      <w:pPr>
        <w:widowControl/>
        <w:autoSpaceDN w:val="0"/>
        <w:spacing w:line="576" w:lineRule="exact"/>
        <w:jc w:val="center"/>
        <w:rPr>
          <w:rFonts w:ascii="微软雅黑" w:eastAsia="微软雅黑" w:hAnsi="仿宋" w:cs="宋体"/>
          <w:bCs/>
          <w:kern w:val="0"/>
          <w:sz w:val="44"/>
          <w:szCs w:val="44"/>
        </w:rPr>
      </w:pPr>
      <w:r>
        <w:rPr>
          <w:rFonts w:ascii="微软雅黑" w:eastAsia="微软雅黑" w:hAnsi="仿宋" w:cs="宋体" w:hint="eastAsia"/>
          <w:bCs/>
          <w:kern w:val="0"/>
          <w:sz w:val="44"/>
          <w:szCs w:val="44"/>
        </w:rPr>
        <w:t>绩效自评报告</w:t>
      </w:r>
    </w:p>
    <w:p w:rsidR="0063594A" w:rsidRDefault="0063594A">
      <w:pPr>
        <w:widowControl/>
        <w:autoSpaceDN w:val="0"/>
        <w:spacing w:line="576" w:lineRule="exact"/>
        <w:jc w:val="center"/>
        <w:rPr>
          <w:rFonts w:ascii="微软雅黑" w:eastAsia="微软雅黑" w:hAnsi="仿宋" w:cs="宋体"/>
          <w:bCs/>
          <w:kern w:val="0"/>
          <w:sz w:val="44"/>
          <w:szCs w:val="44"/>
        </w:rPr>
      </w:pPr>
    </w:p>
    <w:p w:rsidR="0063594A" w:rsidRDefault="0063594A">
      <w:pPr>
        <w:widowControl/>
        <w:spacing w:line="576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一、部门</w:t>
      </w:r>
      <w:r>
        <w:rPr>
          <w:rFonts w:ascii="黑体" w:eastAsia="黑体" w:hAnsi="黑体" w:cs="宋体"/>
          <w:color w:val="000000"/>
          <w:kern w:val="0"/>
          <w:sz w:val="32"/>
          <w:szCs w:val="32"/>
        </w:rPr>
        <w:t>(</w:t>
      </w: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单位</w:t>
      </w:r>
      <w:r>
        <w:rPr>
          <w:rFonts w:ascii="黑体" w:eastAsia="黑体" w:hAnsi="黑体" w:cs="宋体"/>
          <w:color w:val="000000"/>
          <w:kern w:val="0"/>
          <w:sz w:val="32"/>
          <w:szCs w:val="32"/>
        </w:rPr>
        <w:t>)</w:t>
      </w: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基本情况</w:t>
      </w:r>
    </w:p>
    <w:p w:rsidR="0063594A" w:rsidRDefault="0063594A">
      <w:pPr>
        <w:widowControl/>
        <w:spacing w:line="576" w:lineRule="exact"/>
        <w:ind w:firstLineChars="200" w:firstLine="640"/>
        <w:jc w:val="left"/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</w:pPr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(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一</w:t>
      </w:r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)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简要介绍</w:t>
      </w:r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2024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年度重点工作</w:t>
      </w:r>
    </w:p>
    <w:p w:rsidR="0063594A" w:rsidRDefault="0063594A" w:rsidP="00014F99">
      <w:pPr>
        <w:widowControl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安化县图书馆主要</w:t>
      </w:r>
      <w:r>
        <w:rPr>
          <w:rFonts w:ascii="仿宋_GB2312" w:eastAsia="仿宋_GB2312" w:cs="仿宋_GB2312" w:hint="eastAsia"/>
          <w:sz w:val="32"/>
          <w:szCs w:val="32"/>
        </w:rPr>
        <w:t>负责对知识、信息的物质载体进行收集、选择、积累、加工、整理、存储、控制、转化、传递和提供使用；负责保存人类文化遗产，进行思想教育、传播科学文化知识，传递科学信息；负责管理全国文化信息资源共享安化支中心的工作；指导全县乡镇文化信息资源共享工程基层服务点和农家书屋的工作。</w:t>
      </w:r>
    </w:p>
    <w:p w:rsidR="0063594A" w:rsidRDefault="0063594A">
      <w:pPr>
        <w:widowControl/>
        <w:spacing w:line="60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</w:pPr>
    </w:p>
    <w:p w:rsidR="0063594A" w:rsidRDefault="0063594A">
      <w:pPr>
        <w:widowControl/>
        <w:spacing w:line="576" w:lineRule="exact"/>
        <w:ind w:firstLineChars="100" w:firstLine="320"/>
        <w:jc w:val="left"/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（二）整体支出规模、使用方向、主要内容和涉及范围</w:t>
      </w:r>
    </w:p>
    <w:p w:rsidR="0063594A" w:rsidRDefault="0063594A" w:rsidP="00DD7536">
      <w:pPr>
        <w:pStyle w:val="Default"/>
        <w:ind w:firstLineChars="200" w:firstLine="640"/>
        <w:rPr>
          <w:rFonts w:hAnsi="仿宋_GB2312"/>
          <w:color w:val="auto"/>
          <w:kern w:val="2"/>
          <w:sz w:val="32"/>
          <w:szCs w:val="32"/>
        </w:rPr>
      </w:pPr>
      <w:r>
        <w:rPr>
          <w:rFonts w:hAnsi="仿宋_GB2312"/>
          <w:sz w:val="32"/>
          <w:szCs w:val="32"/>
        </w:rPr>
        <w:t>2024</w:t>
      </w:r>
      <w:r>
        <w:rPr>
          <w:rFonts w:hAnsi="仿宋_GB2312" w:hint="eastAsia"/>
          <w:sz w:val="32"/>
          <w:szCs w:val="32"/>
        </w:rPr>
        <w:t>年度图书馆本馆收入、支出规模：</w:t>
      </w:r>
      <w:r>
        <w:rPr>
          <w:rFonts w:hAnsi="仿宋" w:hint="eastAsia"/>
          <w:sz w:val="32"/>
          <w:szCs w:val="32"/>
        </w:rPr>
        <w:t>全年总收入</w:t>
      </w:r>
      <w:r>
        <w:rPr>
          <w:rFonts w:hAnsi="仿宋"/>
          <w:sz w:val="32"/>
          <w:szCs w:val="32"/>
        </w:rPr>
        <w:t>204.37</w:t>
      </w:r>
      <w:r>
        <w:rPr>
          <w:rFonts w:hAnsi="仿宋" w:hint="eastAsia"/>
          <w:sz w:val="32"/>
          <w:szCs w:val="32"/>
        </w:rPr>
        <w:t>万元，其中人员经费</w:t>
      </w:r>
      <w:r>
        <w:rPr>
          <w:rFonts w:hAnsi="仿宋"/>
          <w:sz w:val="32"/>
          <w:szCs w:val="32"/>
        </w:rPr>
        <w:t>122.71</w:t>
      </w:r>
      <w:r>
        <w:rPr>
          <w:rFonts w:hAnsi="仿宋" w:hint="eastAsia"/>
          <w:sz w:val="32"/>
          <w:szCs w:val="32"/>
        </w:rPr>
        <w:t>万元，公用经费</w:t>
      </w:r>
      <w:r>
        <w:rPr>
          <w:rFonts w:hAnsi="仿宋"/>
          <w:sz w:val="32"/>
          <w:szCs w:val="32"/>
        </w:rPr>
        <w:t>12.11</w:t>
      </w:r>
      <w:r>
        <w:rPr>
          <w:rFonts w:hAnsi="仿宋" w:hint="eastAsia"/>
          <w:sz w:val="32"/>
          <w:szCs w:val="32"/>
        </w:rPr>
        <w:t>万元。资金</w:t>
      </w:r>
      <w:r>
        <w:rPr>
          <w:rFonts w:hAnsi="仿宋_GB2312" w:hint="eastAsia"/>
          <w:sz w:val="32"/>
          <w:szCs w:val="32"/>
        </w:rPr>
        <w:t>使用方向主要为文化旅游体育与传媒支出（类）文化和旅游（款）行政运行（项），年初预算为</w:t>
      </w:r>
      <w:r>
        <w:rPr>
          <w:rFonts w:hAnsi="仿宋_GB2312"/>
          <w:color w:val="auto"/>
          <w:kern w:val="2"/>
          <w:sz w:val="32"/>
          <w:szCs w:val="32"/>
        </w:rPr>
        <w:t>85.76</w:t>
      </w:r>
      <w:r>
        <w:rPr>
          <w:rFonts w:hAnsi="仿宋_GB2312" w:hint="eastAsia"/>
          <w:sz w:val="32"/>
          <w:szCs w:val="32"/>
        </w:rPr>
        <w:t>万元，支出决算为</w:t>
      </w:r>
      <w:r>
        <w:rPr>
          <w:rFonts w:hAnsi="仿宋_GB2312"/>
          <w:color w:val="auto"/>
          <w:kern w:val="2"/>
          <w:sz w:val="32"/>
          <w:szCs w:val="32"/>
        </w:rPr>
        <w:t>89.88</w:t>
      </w:r>
      <w:r>
        <w:rPr>
          <w:rFonts w:hAnsi="仿宋_GB2312" w:hint="eastAsia"/>
          <w:color w:val="auto"/>
          <w:kern w:val="2"/>
          <w:sz w:val="32"/>
          <w:szCs w:val="32"/>
        </w:rPr>
        <w:t>万</w:t>
      </w:r>
      <w:r>
        <w:rPr>
          <w:rFonts w:hAnsi="仿宋_GB2312" w:hint="eastAsia"/>
          <w:sz w:val="32"/>
          <w:szCs w:val="32"/>
        </w:rPr>
        <w:t>万元；</w:t>
      </w:r>
      <w:r>
        <w:rPr>
          <w:rFonts w:hAnsi="仿宋_GB2312" w:hint="eastAsia"/>
          <w:color w:val="auto"/>
          <w:kern w:val="2"/>
          <w:sz w:val="32"/>
          <w:szCs w:val="32"/>
        </w:rPr>
        <w:t>文化旅游体育与传媒支出（类）文化和旅游（款）其他文化和旅游支出（项）</w:t>
      </w:r>
      <w:r>
        <w:rPr>
          <w:rFonts w:hAnsi="仿宋_GB2312"/>
          <w:color w:val="auto"/>
          <w:kern w:val="2"/>
          <w:sz w:val="32"/>
          <w:szCs w:val="32"/>
        </w:rPr>
        <w:t>,</w:t>
      </w:r>
      <w:r w:rsidRPr="00DD7536">
        <w:rPr>
          <w:rFonts w:hAnsi="仿宋_GB2312"/>
          <w:color w:val="auto"/>
          <w:kern w:val="2"/>
          <w:sz w:val="32"/>
          <w:szCs w:val="32"/>
        </w:rPr>
        <w:t xml:space="preserve"> </w:t>
      </w:r>
      <w:r>
        <w:rPr>
          <w:rFonts w:hAnsi="仿宋_GB2312" w:hint="eastAsia"/>
          <w:color w:val="auto"/>
          <w:kern w:val="2"/>
          <w:sz w:val="32"/>
          <w:szCs w:val="32"/>
        </w:rPr>
        <w:t>年初预算为</w:t>
      </w:r>
      <w:r>
        <w:rPr>
          <w:rFonts w:hAnsi="仿宋_GB2312"/>
          <w:color w:val="auto"/>
          <w:kern w:val="2"/>
          <w:sz w:val="32"/>
          <w:szCs w:val="32"/>
        </w:rPr>
        <w:t>0</w:t>
      </w:r>
      <w:r>
        <w:rPr>
          <w:rFonts w:hAnsi="仿宋_GB2312" w:hint="eastAsia"/>
          <w:color w:val="auto"/>
          <w:kern w:val="2"/>
          <w:sz w:val="32"/>
          <w:szCs w:val="32"/>
        </w:rPr>
        <w:t>万元，支出决算为</w:t>
      </w:r>
      <w:r>
        <w:rPr>
          <w:rFonts w:hAnsi="仿宋_GB2312"/>
          <w:color w:val="auto"/>
          <w:kern w:val="2"/>
          <w:sz w:val="32"/>
          <w:szCs w:val="32"/>
        </w:rPr>
        <w:t>44.92</w:t>
      </w:r>
      <w:r>
        <w:rPr>
          <w:rFonts w:hAnsi="仿宋_GB2312" w:hint="eastAsia"/>
          <w:color w:val="auto"/>
          <w:kern w:val="2"/>
          <w:sz w:val="32"/>
          <w:szCs w:val="32"/>
        </w:rPr>
        <w:t>万元</w:t>
      </w:r>
      <w:r>
        <w:rPr>
          <w:rFonts w:hAnsi="仿宋_GB2312"/>
          <w:color w:val="auto"/>
          <w:kern w:val="2"/>
          <w:sz w:val="32"/>
          <w:szCs w:val="32"/>
        </w:rPr>
        <w:t>;</w:t>
      </w:r>
    </w:p>
    <w:p w:rsidR="0063594A" w:rsidRDefault="0063594A" w:rsidP="00DD7536">
      <w:pPr>
        <w:widowControl/>
        <w:spacing w:line="576" w:lineRule="exact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文化旅游体育与传媒支出（类）体育（款）体育训练（项），年初预算为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万元，支出决算为</w:t>
      </w:r>
      <w:r>
        <w:rPr>
          <w:rFonts w:ascii="仿宋_GB2312" w:eastAsia="仿宋_GB2312" w:hAnsi="仿宋_GB2312" w:cs="仿宋_GB2312"/>
          <w:sz w:val="32"/>
          <w:szCs w:val="32"/>
        </w:rPr>
        <w:t>38.63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万元；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</w:p>
    <w:p w:rsidR="0063594A" w:rsidRDefault="0063594A">
      <w:pPr>
        <w:widowControl/>
        <w:spacing w:line="576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二、一般公共预算支出情况</w:t>
      </w:r>
    </w:p>
    <w:p w:rsidR="0063594A" w:rsidRDefault="0063594A">
      <w:pPr>
        <w:widowControl/>
        <w:spacing w:line="576" w:lineRule="exact"/>
        <w:ind w:firstLineChars="200" w:firstLine="640"/>
        <w:jc w:val="left"/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</w:pPr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(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一</w:t>
      </w:r>
      <w:r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  <w:t>)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基本支出情况</w:t>
      </w:r>
    </w:p>
    <w:p w:rsidR="0063594A" w:rsidRDefault="0063594A" w:rsidP="00DD7536">
      <w:pPr>
        <w:snapToGrid w:val="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年度图书馆本馆收入、支出年初预算总计</w:t>
      </w:r>
      <w:r>
        <w:rPr>
          <w:rFonts w:ascii="仿宋_GB2312" w:eastAsia="仿宋_GB2312" w:hAnsi="仿宋_GB2312" w:cs="仿宋_GB2312"/>
          <w:sz w:val="32"/>
          <w:szCs w:val="32"/>
        </w:rPr>
        <w:t>114.14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" w:cs="仿宋_GB2312" w:hint="eastAsia"/>
          <w:sz w:val="32"/>
          <w:szCs w:val="32"/>
        </w:rPr>
        <w:t>全年总收入</w:t>
      </w:r>
      <w:r>
        <w:rPr>
          <w:rFonts w:ascii="仿宋_GB2312" w:eastAsia="仿宋_GB2312" w:hAnsi="仿宋_GB2312" w:cs="仿宋_GB2312"/>
          <w:sz w:val="32"/>
          <w:szCs w:val="32"/>
        </w:rPr>
        <w:t>204.37</w:t>
      </w:r>
      <w:r>
        <w:rPr>
          <w:rFonts w:ascii="仿宋_GB2312" w:eastAsia="仿宋_GB2312" w:hAnsi="仿宋" w:cs="仿宋_GB2312" w:hint="eastAsia"/>
          <w:sz w:val="32"/>
          <w:szCs w:val="32"/>
        </w:rPr>
        <w:t>万元，</w:t>
      </w:r>
      <w:r>
        <w:rPr>
          <w:rFonts w:ascii="仿宋_GB2312" w:eastAsia="仿宋_GB2312" w:hAnsi="仿宋" w:hint="eastAsia"/>
          <w:sz w:val="32"/>
          <w:szCs w:val="32"/>
        </w:rPr>
        <w:t>其中</w:t>
      </w:r>
      <w:r>
        <w:rPr>
          <w:rFonts w:ascii="仿宋_GB2312" w:eastAsia="仿宋_GB2312" w:hAnsi="仿宋"/>
          <w:sz w:val="32"/>
          <w:szCs w:val="32"/>
        </w:rPr>
        <w:t>:</w:t>
      </w:r>
      <w:r>
        <w:rPr>
          <w:rFonts w:ascii="仿宋_GB2312" w:eastAsia="仿宋_GB2312" w:hAnsi="仿宋" w:hint="eastAsia"/>
          <w:sz w:val="32"/>
          <w:szCs w:val="32"/>
        </w:rPr>
        <w:t>一般公共预算财政拨款收入</w:t>
      </w:r>
      <w:r>
        <w:rPr>
          <w:rFonts w:ascii="仿宋_GB2312" w:eastAsia="仿宋_GB2312" w:hAnsi="仿宋"/>
          <w:sz w:val="32"/>
          <w:szCs w:val="32"/>
        </w:rPr>
        <w:t>204.22</w:t>
      </w:r>
      <w:r>
        <w:rPr>
          <w:rFonts w:ascii="仿宋_GB2312" w:eastAsia="仿宋_GB2312" w:hAnsi="仿宋" w:hint="eastAsia"/>
          <w:sz w:val="32"/>
          <w:szCs w:val="32"/>
        </w:rPr>
        <w:t>万元，占总收入的</w:t>
      </w:r>
      <w:r>
        <w:rPr>
          <w:rFonts w:ascii="仿宋_GB2312" w:eastAsia="仿宋_GB2312" w:hAnsi="仿宋"/>
          <w:sz w:val="32"/>
          <w:szCs w:val="32"/>
        </w:rPr>
        <w:t>99.93%</w:t>
      </w:r>
      <w:r>
        <w:rPr>
          <w:rFonts w:ascii="仿宋_GB2312" w:eastAsia="仿宋_GB2312" w:hAnsi="仿宋" w:hint="eastAsia"/>
          <w:sz w:val="32"/>
          <w:szCs w:val="32"/>
        </w:rPr>
        <w:t>；其他收入</w:t>
      </w:r>
      <w:r>
        <w:rPr>
          <w:rFonts w:ascii="仿宋_GB2312" w:eastAsia="仿宋_GB2312" w:hAnsi="仿宋"/>
          <w:sz w:val="32"/>
          <w:szCs w:val="32"/>
        </w:rPr>
        <w:t>0.15</w:t>
      </w:r>
      <w:r>
        <w:rPr>
          <w:rFonts w:ascii="仿宋_GB2312" w:eastAsia="仿宋_GB2312" w:hAnsi="仿宋" w:hint="eastAsia"/>
          <w:sz w:val="32"/>
          <w:szCs w:val="32"/>
        </w:rPr>
        <w:t>万元，占总收入的</w:t>
      </w:r>
      <w:r>
        <w:rPr>
          <w:rFonts w:ascii="仿宋_GB2312" w:eastAsia="仿宋_GB2312" w:hAnsi="仿宋"/>
          <w:sz w:val="32"/>
          <w:szCs w:val="32"/>
        </w:rPr>
        <w:t>0.07%.</w:t>
      </w:r>
      <w:r>
        <w:rPr>
          <w:rFonts w:ascii="仿宋_GB2312" w:eastAsia="仿宋_GB2312" w:hAnsi="仿宋" w:hint="eastAsia"/>
          <w:sz w:val="32"/>
          <w:szCs w:val="32"/>
        </w:rPr>
        <w:t>基本支出</w:t>
      </w:r>
      <w:r>
        <w:rPr>
          <w:rFonts w:ascii="仿宋_GB2312" w:eastAsia="仿宋_GB2312" w:hAnsi="仿宋"/>
          <w:sz w:val="32"/>
          <w:szCs w:val="32"/>
        </w:rPr>
        <w:t>134.82</w:t>
      </w:r>
      <w:r>
        <w:rPr>
          <w:rFonts w:ascii="仿宋_GB2312" w:eastAsia="仿宋_GB2312" w:hAnsi="仿宋" w:hint="eastAsia"/>
          <w:sz w:val="32"/>
          <w:szCs w:val="32"/>
        </w:rPr>
        <w:t>万元，占总支出的</w:t>
      </w:r>
      <w:r>
        <w:rPr>
          <w:rFonts w:ascii="仿宋_GB2312" w:eastAsia="仿宋_GB2312" w:hAnsi="仿宋"/>
          <w:sz w:val="32"/>
          <w:szCs w:val="32"/>
        </w:rPr>
        <w:t>65.97%</w:t>
      </w:r>
      <w:r>
        <w:rPr>
          <w:rFonts w:ascii="仿宋_GB2312" w:eastAsia="仿宋_GB2312" w:hAnsi="仿宋" w:hint="eastAsia"/>
          <w:sz w:val="32"/>
          <w:szCs w:val="32"/>
        </w:rPr>
        <w:t>，其中人员经费</w:t>
      </w:r>
      <w:r>
        <w:rPr>
          <w:rFonts w:ascii="仿宋_GB2312" w:eastAsia="仿宋_GB2312" w:hAnsi="仿宋"/>
          <w:sz w:val="32"/>
          <w:szCs w:val="32"/>
        </w:rPr>
        <w:t>122.71</w:t>
      </w:r>
      <w:r>
        <w:rPr>
          <w:rFonts w:ascii="仿宋_GB2312" w:eastAsia="仿宋_GB2312" w:hAnsi="仿宋" w:hint="eastAsia"/>
          <w:sz w:val="32"/>
          <w:szCs w:val="32"/>
        </w:rPr>
        <w:t>万元，公用经费</w:t>
      </w:r>
      <w:r>
        <w:rPr>
          <w:rFonts w:ascii="仿宋_GB2312" w:eastAsia="仿宋_GB2312" w:hAnsi="仿宋"/>
          <w:sz w:val="32"/>
          <w:szCs w:val="32"/>
        </w:rPr>
        <w:t>12.11</w:t>
      </w:r>
      <w:r>
        <w:rPr>
          <w:rFonts w:ascii="仿宋_GB2312" w:eastAsia="仿宋_GB2312" w:hAnsi="仿宋" w:hint="eastAsia"/>
          <w:sz w:val="32"/>
          <w:szCs w:val="32"/>
        </w:rPr>
        <w:t>万元；项目支出</w:t>
      </w:r>
      <w:r>
        <w:rPr>
          <w:rFonts w:ascii="仿宋_GB2312" w:eastAsia="仿宋_GB2312" w:hAnsi="仿宋"/>
          <w:sz w:val="32"/>
          <w:szCs w:val="32"/>
        </w:rPr>
        <w:t>69.55</w:t>
      </w:r>
      <w:r>
        <w:rPr>
          <w:rFonts w:ascii="仿宋_GB2312" w:eastAsia="仿宋_GB2312" w:hAnsi="仿宋" w:hint="eastAsia"/>
          <w:sz w:val="32"/>
          <w:szCs w:val="32"/>
        </w:rPr>
        <w:t>万元，占总支出的</w:t>
      </w:r>
      <w:r>
        <w:rPr>
          <w:rFonts w:ascii="仿宋_GB2312" w:eastAsia="仿宋_GB2312" w:hAnsi="仿宋"/>
          <w:sz w:val="32"/>
          <w:szCs w:val="32"/>
        </w:rPr>
        <w:t>34.03%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63594A" w:rsidRDefault="0063594A" w:rsidP="00DD7536">
      <w:pPr>
        <w:snapToGrid w:val="0"/>
        <w:spacing w:line="520" w:lineRule="exact"/>
        <w:ind w:firstLineChars="300" w:firstLine="960"/>
        <w:rPr>
          <w:rFonts w:ascii="仿宋_GB2312" w:eastAsia="仿宋_GB2312" w:hAnsi="仿宋"/>
          <w:sz w:val="32"/>
          <w:szCs w:val="32"/>
        </w:rPr>
      </w:pPr>
    </w:p>
    <w:p w:rsidR="0063594A" w:rsidRDefault="0063594A">
      <w:pPr>
        <w:widowControl/>
        <w:numPr>
          <w:ilvl w:val="0"/>
          <w:numId w:val="1"/>
        </w:numPr>
        <w:spacing w:line="576" w:lineRule="exact"/>
        <w:ind w:firstLineChars="200" w:firstLine="640"/>
        <w:jc w:val="left"/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</w:rPr>
        <w:t>项目支出情况</w:t>
      </w:r>
    </w:p>
    <w:p w:rsidR="0063594A" w:rsidRDefault="0063594A">
      <w:p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年度图书馆</w:t>
      </w:r>
      <w:r>
        <w:rPr>
          <w:rFonts w:ascii="仿宋_GB2312" w:eastAsia="仿宋_GB2312" w:hAnsi="仿宋" w:cs="仿宋_GB2312" w:hint="eastAsia"/>
          <w:sz w:val="32"/>
          <w:szCs w:val="32"/>
        </w:rPr>
        <w:t>项目支出</w:t>
      </w:r>
      <w:r>
        <w:rPr>
          <w:rFonts w:ascii="仿宋_GB2312" w:eastAsia="仿宋_GB2312" w:hAnsi="仿宋" w:cs="仿宋_GB2312"/>
          <w:sz w:val="32"/>
          <w:szCs w:val="32"/>
        </w:rPr>
        <w:t>69.55</w:t>
      </w:r>
      <w:r>
        <w:rPr>
          <w:rFonts w:ascii="仿宋_GB2312" w:eastAsia="仿宋_GB2312" w:hAnsi="仿宋" w:cs="仿宋_GB2312" w:hint="eastAsia"/>
          <w:sz w:val="32"/>
          <w:szCs w:val="32"/>
        </w:rPr>
        <w:t>万元，占总支出的</w:t>
      </w:r>
      <w:r>
        <w:rPr>
          <w:rFonts w:ascii="仿宋_GB2312" w:eastAsia="仿宋_GB2312" w:hAnsi="仿宋"/>
          <w:sz w:val="32"/>
          <w:szCs w:val="32"/>
        </w:rPr>
        <w:t>34.03%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63594A" w:rsidRDefault="0063594A">
      <w:pPr>
        <w:widowControl/>
        <w:numPr>
          <w:ilvl w:val="0"/>
          <w:numId w:val="2"/>
        </w:numPr>
        <w:spacing w:line="576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政府性基金预算支出情况</w:t>
      </w:r>
    </w:p>
    <w:p w:rsidR="0063594A" w:rsidRDefault="0063594A">
      <w:pPr>
        <w:widowControl/>
        <w:spacing w:line="576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无</w:t>
      </w:r>
    </w:p>
    <w:p w:rsidR="0063594A" w:rsidRDefault="0063594A">
      <w:pPr>
        <w:widowControl/>
        <w:numPr>
          <w:ilvl w:val="0"/>
          <w:numId w:val="2"/>
        </w:numPr>
        <w:spacing w:line="576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国有资本经营预算支出情况</w:t>
      </w:r>
    </w:p>
    <w:p w:rsidR="0063594A" w:rsidRDefault="0063594A">
      <w:pPr>
        <w:widowControl/>
        <w:spacing w:line="576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无</w:t>
      </w:r>
    </w:p>
    <w:p w:rsidR="0063594A" w:rsidRDefault="0063594A">
      <w:pPr>
        <w:widowControl/>
        <w:numPr>
          <w:ilvl w:val="0"/>
          <w:numId w:val="2"/>
        </w:numPr>
        <w:spacing w:line="576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社会保险基金预算支出情况</w:t>
      </w:r>
    </w:p>
    <w:p w:rsidR="0063594A" w:rsidRDefault="0063594A">
      <w:pPr>
        <w:widowControl/>
        <w:spacing w:line="576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无</w:t>
      </w:r>
    </w:p>
    <w:p w:rsidR="0063594A" w:rsidRDefault="0063594A">
      <w:pPr>
        <w:widowControl/>
        <w:spacing w:line="576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六、部门整体支出绩效情况</w:t>
      </w:r>
    </w:p>
    <w:p w:rsidR="0063594A" w:rsidRDefault="0063594A">
      <w:pPr>
        <w:snapToGrid w:val="0"/>
        <w:ind w:firstLineChars="200" w:firstLine="640"/>
        <w:rPr>
          <w:rFonts w:hAnsi="仿宋_GB2312" w:cs="仿宋_GB2312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2024</w:t>
      </w:r>
      <w:r>
        <w:rPr>
          <w:rFonts w:ascii="仿宋_GB2312" w:eastAsia="仿宋_GB2312" w:hAnsi="仿宋" w:hint="eastAsia"/>
          <w:sz w:val="32"/>
          <w:szCs w:val="32"/>
        </w:rPr>
        <w:t>年本级年初预算支出总计</w:t>
      </w:r>
      <w:r>
        <w:rPr>
          <w:rFonts w:ascii="仿宋_GB2312" w:eastAsia="仿宋_GB2312" w:hAnsi="仿宋"/>
          <w:sz w:val="32"/>
          <w:szCs w:val="32"/>
        </w:rPr>
        <w:t>114.14</w:t>
      </w:r>
      <w:r>
        <w:rPr>
          <w:rFonts w:ascii="仿宋_GB2312" w:eastAsia="仿宋_GB2312" w:hAnsi="仿宋" w:hint="eastAsia"/>
          <w:sz w:val="32"/>
          <w:szCs w:val="32"/>
        </w:rPr>
        <w:t>元，</w:t>
      </w:r>
      <w:r>
        <w:rPr>
          <w:rFonts w:ascii="仿宋_GB2312" w:eastAsia="仿宋_GB2312" w:hAnsi="仿宋_GB2312" w:cs="仿宋_GB2312" w:hint="eastAsia"/>
          <w:sz w:val="32"/>
          <w:szCs w:val="32"/>
        </w:rPr>
        <w:t>完成年初预算的</w:t>
      </w:r>
      <w:r>
        <w:rPr>
          <w:rFonts w:ascii="仿宋_GB2312" w:eastAsia="仿宋_GB2312" w:hAnsi="仿宋_GB2312" w:cs="仿宋_GB2312"/>
          <w:sz w:val="32"/>
          <w:szCs w:val="32"/>
        </w:rPr>
        <w:t>100%</w:t>
      </w:r>
      <w:r>
        <w:rPr>
          <w:rFonts w:ascii="仿宋_GB2312" w:eastAsia="仿宋_GB2312" w:hAnsi="仿宋" w:hint="eastAsia"/>
          <w:sz w:val="32"/>
          <w:szCs w:val="32"/>
        </w:rPr>
        <w:t>。全年预算数</w:t>
      </w:r>
      <w:r>
        <w:rPr>
          <w:rFonts w:ascii="仿宋_GB2312" w:eastAsia="仿宋_GB2312" w:hAnsi="仿宋_GB2312" w:cs="仿宋_GB2312"/>
          <w:sz w:val="32"/>
          <w:szCs w:val="32"/>
        </w:rPr>
        <w:t>204.37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>
        <w:rPr>
          <w:rFonts w:ascii="仿宋_GB2312" w:eastAsia="仿宋_GB2312" w:hAnsi="仿宋" w:hint="eastAsia"/>
          <w:sz w:val="32"/>
          <w:szCs w:val="32"/>
        </w:rPr>
        <w:t>，全年执行数</w:t>
      </w:r>
      <w:r>
        <w:rPr>
          <w:rFonts w:ascii="仿宋_GB2312" w:eastAsia="仿宋_GB2312" w:hAnsi="仿宋_GB2312" w:cs="仿宋_GB2312" w:hint="eastAsia"/>
          <w:sz w:val="32"/>
          <w:szCs w:val="32"/>
        </w:rPr>
        <w:t>支出决算数为</w:t>
      </w:r>
      <w:r>
        <w:rPr>
          <w:rFonts w:ascii="仿宋_GB2312" w:eastAsia="仿宋_GB2312" w:hAnsi="仿宋_GB2312" w:cs="仿宋_GB2312"/>
          <w:sz w:val="32"/>
          <w:szCs w:val="32"/>
        </w:rPr>
        <w:t>204.37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万元，执行率为</w:t>
      </w:r>
      <w:r>
        <w:rPr>
          <w:rFonts w:ascii="仿宋_GB2312" w:eastAsia="仿宋_GB2312" w:hAnsi="仿宋_GB2312" w:cs="仿宋_GB2312"/>
          <w:sz w:val="32"/>
          <w:szCs w:val="32"/>
        </w:rPr>
        <w:t>100%</w:t>
      </w:r>
      <w:r>
        <w:rPr>
          <w:rFonts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" w:cs="仿宋_GB2312" w:hint="eastAsia"/>
          <w:sz w:val="32"/>
          <w:szCs w:val="32"/>
        </w:rPr>
        <w:t>按支出性质和经济分类，基本支出</w:t>
      </w:r>
      <w:r>
        <w:rPr>
          <w:rFonts w:ascii="仿宋_GB2312" w:eastAsia="仿宋_GB2312" w:hAnsi="仿宋"/>
          <w:sz w:val="32"/>
          <w:szCs w:val="32"/>
        </w:rPr>
        <w:t>134.82</w:t>
      </w:r>
      <w:r>
        <w:rPr>
          <w:rFonts w:ascii="仿宋_GB2312" w:eastAsia="仿宋_GB2312" w:hAnsi="仿宋" w:cs="仿宋_GB2312" w:hint="eastAsia"/>
          <w:sz w:val="32"/>
          <w:szCs w:val="32"/>
        </w:rPr>
        <w:t>万元，占总支出的</w:t>
      </w:r>
      <w:r>
        <w:rPr>
          <w:rFonts w:ascii="仿宋_GB2312" w:eastAsia="仿宋_GB2312" w:hAnsi="仿宋"/>
          <w:sz w:val="32"/>
          <w:szCs w:val="32"/>
        </w:rPr>
        <w:t>65.97%</w:t>
      </w:r>
      <w:r>
        <w:rPr>
          <w:rFonts w:ascii="仿宋_GB2312" w:eastAsia="仿宋_GB2312" w:hAnsi="仿宋" w:cs="仿宋_GB2312" w:hint="eastAsia"/>
          <w:sz w:val="32"/>
          <w:szCs w:val="32"/>
        </w:rPr>
        <w:t>，其中人员经费</w:t>
      </w:r>
      <w:r>
        <w:rPr>
          <w:rFonts w:ascii="仿宋_GB2312" w:eastAsia="仿宋_GB2312" w:hAnsi="仿宋"/>
          <w:sz w:val="32"/>
          <w:szCs w:val="32"/>
        </w:rPr>
        <w:t>122.71</w:t>
      </w:r>
      <w:r>
        <w:rPr>
          <w:rFonts w:ascii="仿宋_GB2312" w:eastAsia="仿宋_GB2312" w:hAnsi="仿宋" w:cs="仿宋_GB2312" w:hint="eastAsia"/>
          <w:sz w:val="32"/>
          <w:szCs w:val="32"/>
        </w:rPr>
        <w:t>万元、公用经费</w:t>
      </w:r>
      <w:r>
        <w:rPr>
          <w:rFonts w:ascii="仿宋_GB2312" w:eastAsia="仿宋_GB2312" w:hAnsi="仿宋"/>
          <w:sz w:val="32"/>
          <w:szCs w:val="32"/>
        </w:rPr>
        <w:t>12.11</w:t>
      </w:r>
      <w:r>
        <w:rPr>
          <w:rFonts w:ascii="仿宋_GB2312" w:eastAsia="仿宋_GB2312" w:hAnsi="仿宋" w:cs="仿宋_GB2312" w:hint="eastAsia"/>
          <w:sz w:val="32"/>
          <w:szCs w:val="32"/>
        </w:rPr>
        <w:t>万元；</w:t>
      </w:r>
      <w:r>
        <w:rPr>
          <w:rFonts w:ascii="仿宋_GB2312" w:eastAsia="仿宋_GB2312" w:hAnsi="仿宋" w:hint="eastAsia"/>
          <w:sz w:val="32"/>
          <w:szCs w:val="32"/>
        </w:rPr>
        <w:t>项目支出</w:t>
      </w:r>
      <w:r>
        <w:rPr>
          <w:rFonts w:ascii="仿宋_GB2312" w:eastAsia="仿宋_GB2312" w:hAnsi="仿宋"/>
          <w:sz w:val="32"/>
          <w:szCs w:val="32"/>
        </w:rPr>
        <w:t>69.55</w:t>
      </w:r>
      <w:r>
        <w:rPr>
          <w:rFonts w:ascii="仿宋_GB2312" w:eastAsia="仿宋_GB2312" w:hAnsi="仿宋" w:hint="eastAsia"/>
          <w:sz w:val="32"/>
          <w:szCs w:val="32"/>
        </w:rPr>
        <w:t>万元，占总支出的</w:t>
      </w:r>
      <w:r>
        <w:rPr>
          <w:rFonts w:ascii="仿宋_GB2312" w:eastAsia="仿宋_GB2312" w:hAnsi="仿宋"/>
          <w:sz w:val="32"/>
          <w:szCs w:val="32"/>
        </w:rPr>
        <w:t>34.03%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63594A" w:rsidRDefault="0063594A">
      <w:pPr>
        <w:snapToGrid w:val="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按预期完成预算资金的分配。</w:t>
      </w:r>
    </w:p>
    <w:p w:rsidR="0063594A" w:rsidRDefault="0063594A" w:rsidP="00DD7536">
      <w:pPr>
        <w:snapToGrid w:val="0"/>
        <w:spacing w:line="520" w:lineRule="exact"/>
        <w:ind w:firstLineChars="200" w:firstLine="640"/>
        <w:rPr>
          <w:rFonts w:ascii="仿宋" w:eastAsia="仿宋_GB2312" w:hAnsi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本部门在</w:t>
      </w:r>
      <w:r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2024</w:t>
      </w: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年度部门决算中反映</w:t>
      </w:r>
      <w:r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 xml:space="preserve"> 1.</w:t>
      </w: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公共文化服务体系建设（农村文化建设）省级补助资金；中央支持地方公共文化体系建设（一般项目）补助资金”</w:t>
      </w:r>
      <w:r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2.</w:t>
      </w: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“县派乡村振兴驻村帮扶工作队队员经费；</w:t>
      </w:r>
      <w:r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3.</w:t>
      </w: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图书馆馆（站）免费开放专项资金；中央补助地方公共文化服务体系建设专项资金；</w:t>
      </w:r>
      <w:r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4.</w:t>
      </w: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“中央支持地方公共文化服务体系建设补助资金；中央支持地方公共文化服务体系建设绩效奖励补助资金</w:t>
      </w:r>
      <w:r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5.</w:t>
      </w: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评估定级等几个大类项目绩效目标实际完成情况，均完成预算的</w:t>
      </w:r>
      <w:r>
        <w:rPr>
          <w:rFonts w:ascii="仿宋" w:eastAsia="仿宋" w:hAnsi="仿宋"/>
          <w:color w:val="000000"/>
          <w:sz w:val="32"/>
          <w:szCs w:val="32"/>
          <w:shd w:val="clear" w:color="auto" w:fill="FFFFFF"/>
        </w:rPr>
        <w:t>100%</w:t>
      </w: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。通过项目实施，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持续推进文化惠民，丰富了群众文化生活，促进乡村文化振兴，提高了乡村人民生活满意度和幸福感。</w:t>
      </w:r>
    </w:p>
    <w:p w:rsidR="0063594A" w:rsidRDefault="0063594A" w:rsidP="00DD7536">
      <w:pPr>
        <w:snapToGrid w:val="0"/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</w:p>
    <w:p w:rsidR="0063594A" w:rsidRDefault="0063594A">
      <w:pPr>
        <w:widowControl/>
        <w:spacing w:line="576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七、存在的问题及原因分析</w:t>
      </w:r>
    </w:p>
    <w:p w:rsidR="0063594A" w:rsidRDefault="0063594A">
      <w:pPr>
        <w:widowControl/>
        <w:spacing w:line="576" w:lineRule="exact"/>
        <w:ind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绩效目标不够具体；预算管理有待提高；县图书馆工作基础有待完善。</w:t>
      </w:r>
    </w:p>
    <w:p w:rsidR="0063594A" w:rsidRDefault="0063594A">
      <w:pPr>
        <w:widowControl/>
        <w:spacing w:line="576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八、下一步改进措施</w:t>
      </w:r>
    </w:p>
    <w:p w:rsidR="0063594A" w:rsidRDefault="0063594A">
      <w:pPr>
        <w:widowControl/>
        <w:spacing w:line="576" w:lineRule="exact"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建立健全绩效目标管理制度；加强预算执行管理，降低预算控制率；加强绩效管理工作基础建设。进一步规范绩效目标编制。在编制项目资金绩效目标时要求指向明确、细化量化、合理可行、相应匹配。提高预算编制的科学化精细化水平。</w:t>
      </w:r>
    </w:p>
    <w:p w:rsidR="0063594A" w:rsidRDefault="0063594A">
      <w:pPr>
        <w:widowControl/>
        <w:numPr>
          <w:ilvl w:val="0"/>
          <w:numId w:val="3"/>
        </w:numPr>
        <w:spacing w:line="576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绩效自评结果拟应用和公开情况</w:t>
      </w:r>
    </w:p>
    <w:p w:rsidR="0063594A" w:rsidRDefault="0063594A">
      <w:pPr>
        <w:widowControl/>
        <w:spacing w:line="576" w:lineRule="exact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/>
          <w:color w:val="000000"/>
          <w:kern w:val="0"/>
          <w:sz w:val="32"/>
          <w:szCs w:val="32"/>
        </w:rPr>
        <w:t xml:space="preserve"> </w:t>
      </w: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暂无</w:t>
      </w:r>
      <w:bookmarkStart w:id="0" w:name="_GoBack"/>
      <w:bookmarkEnd w:id="0"/>
    </w:p>
    <w:p w:rsidR="0063594A" w:rsidRDefault="0063594A">
      <w:pPr>
        <w:widowControl/>
        <w:spacing w:line="576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十、其他需要说明的情况。</w:t>
      </w:r>
    </w:p>
    <w:p w:rsidR="0063594A" w:rsidRDefault="0063594A">
      <w:pPr>
        <w:widowControl/>
        <w:spacing w:line="576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无</w:t>
      </w:r>
    </w:p>
    <w:sectPr w:rsidR="0063594A" w:rsidSect="008B5F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2098" w:right="1474" w:bottom="1984" w:left="1474" w:header="850" w:footer="1417" w:gutter="0"/>
      <w:pgNumType w:fmt="numberInDash" w:start="1"/>
      <w:cols w:space="0"/>
      <w:docGrid w:type="lines" w:linePitch="63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94A" w:rsidRDefault="0063594A" w:rsidP="008B5FC4">
      <w:r>
        <w:separator/>
      </w:r>
    </w:p>
  </w:endnote>
  <w:endnote w:type="continuationSeparator" w:id="0">
    <w:p w:rsidR="0063594A" w:rsidRDefault="0063594A" w:rsidP="008B5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94A" w:rsidRDefault="0063594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94A" w:rsidRDefault="0063594A">
    <w:pPr>
      <w:pStyle w:val="Footer"/>
      <w:ind w:right="360" w:firstLine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2049" type="#_x0000_t202" style="position:absolute;left:0;text-align:left;margin-left:208pt;margin-top:0;width:2in;height:2in;z-index:251660288;mso-wrap-style:none;mso-position-horizontal:right;mso-position-horizontal-relative:margin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oaYJL0wAA&#10;AAUBAAAPAAAAAAAAAAEAIAAAACIAAABkcnMvZG93bnJldi54bWxQSwECFAAUAAAACACHTuJAmrEc&#10;4+oBAADLAwAADgAAAAAAAAABACAAAAAiAQAAZHJzL2Uyb0RvYy54bWxQSwUGAAAAAAYABgBZAQAA&#10;fgUAAAAA&#10;" filled="f" stroked="f" strokeweight="1.25pt">
          <v:textbox style="mso-fit-shape-to-text:t" inset="0,0,0,0">
            <w:txbxContent>
              <w:p w:rsidR="0063594A" w:rsidRDefault="0063594A">
                <w:pPr>
                  <w:pStyle w:val="Footer"/>
                  <w:rPr>
                    <w:rFonts w:ascii="仿宋_GB2312" w:eastAsia="仿宋_GB2312" w:hAnsi="仿宋_GB2312" w:cs="仿宋_GB2312"/>
                    <w:sz w:val="28"/>
                    <w:szCs w:val="28"/>
                  </w:rPr>
                </w:pPr>
                <w:r>
                  <w:rPr>
                    <w:rFonts w:ascii="仿宋_GB2312" w:eastAsia="仿宋_GB2312" w:hAnsi="仿宋_GB2312" w:cs="仿宋_GB2312"/>
                    <w:sz w:val="28"/>
                    <w:szCs w:val="28"/>
                  </w:rPr>
                  <w:fldChar w:fldCharType="begin"/>
                </w:r>
                <w:r>
                  <w:rPr>
                    <w:rFonts w:ascii="仿宋_GB2312" w:eastAsia="仿宋_GB2312" w:hAnsi="仿宋_GB2312" w:cs="仿宋_GB2312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仿宋_GB2312" w:eastAsia="仿宋_GB2312" w:hAnsi="仿宋_GB2312" w:cs="仿宋_GB2312"/>
                    <w:sz w:val="28"/>
                    <w:szCs w:val="28"/>
                  </w:rPr>
                  <w:fldChar w:fldCharType="separate"/>
                </w:r>
                <w:r>
                  <w:rPr>
                    <w:rFonts w:ascii="仿宋_GB2312" w:eastAsia="仿宋_GB2312" w:hAnsi="仿宋_GB2312" w:cs="仿宋_GB2312"/>
                    <w:noProof/>
                    <w:sz w:val="28"/>
                    <w:szCs w:val="28"/>
                  </w:rPr>
                  <w:t>- 2 -</w:t>
                </w:r>
                <w:r>
                  <w:rPr>
                    <w:rFonts w:ascii="仿宋_GB2312" w:eastAsia="仿宋_GB2312" w:hAnsi="仿宋_GB2312" w:cs="仿宋_GB2312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94A" w:rsidRDefault="0063594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94A" w:rsidRDefault="0063594A" w:rsidP="008B5FC4">
      <w:r>
        <w:separator/>
      </w:r>
    </w:p>
  </w:footnote>
  <w:footnote w:type="continuationSeparator" w:id="0">
    <w:p w:rsidR="0063594A" w:rsidRDefault="0063594A" w:rsidP="008B5F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94A" w:rsidRDefault="0063594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94A" w:rsidRDefault="0063594A" w:rsidP="002F671D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94A" w:rsidRDefault="0063594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82AC1E4"/>
    <w:multiLevelType w:val="singleLevel"/>
    <w:tmpl w:val="F82AC1E4"/>
    <w:lvl w:ilvl="0">
      <w:start w:val="2"/>
      <w:numFmt w:val="chineseCounting"/>
      <w:lvlText w:val="(%1)"/>
      <w:lvlJc w:val="left"/>
      <w:pPr>
        <w:tabs>
          <w:tab w:val="left" w:pos="312"/>
        </w:tabs>
      </w:pPr>
      <w:rPr>
        <w:rFonts w:cs="Times New Roman" w:hint="eastAsia"/>
      </w:rPr>
    </w:lvl>
  </w:abstractNum>
  <w:abstractNum w:abstractNumId="1">
    <w:nsid w:val="4C309538"/>
    <w:multiLevelType w:val="singleLevel"/>
    <w:tmpl w:val="4C309538"/>
    <w:lvl w:ilvl="0">
      <w:start w:val="9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2">
    <w:nsid w:val="5D61867D"/>
    <w:multiLevelType w:val="singleLevel"/>
    <w:tmpl w:val="5D61867D"/>
    <w:lvl w:ilvl="0">
      <w:start w:val="3"/>
      <w:numFmt w:val="chineseCounting"/>
      <w:suff w:val="nothing"/>
      <w:lvlText w:val="%1、"/>
      <w:lvlJc w:val="left"/>
      <w:rPr>
        <w:rFonts w:cs="Times New Roman"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OGFmMDFlYTMwZTJkYjA4Yjc1ZDRhZjI0MmZmNGZiN2EifQ=="/>
    <w:docVar w:name="KSO_WPS_MARK_KEY" w:val="efdb9831-49e2-41f3-897e-affe4bfc1ef8"/>
  </w:docVars>
  <w:rsids>
    <w:rsidRoot w:val="5EF91413"/>
    <w:rsid w:val="BEF50DB4"/>
    <w:rsid w:val="00014F99"/>
    <w:rsid w:val="00035D75"/>
    <w:rsid w:val="001F27BC"/>
    <w:rsid w:val="002C3518"/>
    <w:rsid w:val="002D4B0D"/>
    <w:rsid w:val="002F671D"/>
    <w:rsid w:val="003062EE"/>
    <w:rsid w:val="00355E6F"/>
    <w:rsid w:val="003E2793"/>
    <w:rsid w:val="003F11DD"/>
    <w:rsid w:val="0042028D"/>
    <w:rsid w:val="00482FD6"/>
    <w:rsid w:val="004C5468"/>
    <w:rsid w:val="004E640B"/>
    <w:rsid w:val="00592274"/>
    <w:rsid w:val="00630B10"/>
    <w:rsid w:val="0063594A"/>
    <w:rsid w:val="00651AD0"/>
    <w:rsid w:val="006760A7"/>
    <w:rsid w:val="00712ECA"/>
    <w:rsid w:val="00725580"/>
    <w:rsid w:val="00796462"/>
    <w:rsid w:val="007C7F1B"/>
    <w:rsid w:val="007F2C1A"/>
    <w:rsid w:val="00826A68"/>
    <w:rsid w:val="008B5FC4"/>
    <w:rsid w:val="00970A76"/>
    <w:rsid w:val="009F78C1"/>
    <w:rsid w:val="00A3179B"/>
    <w:rsid w:val="00A40CEF"/>
    <w:rsid w:val="00A84895"/>
    <w:rsid w:val="00AD157A"/>
    <w:rsid w:val="00AE5FCA"/>
    <w:rsid w:val="00B83482"/>
    <w:rsid w:val="00CF00E5"/>
    <w:rsid w:val="00D30D45"/>
    <w:rsid w:val="00DD7536"/>
    <w:rsid w:val="00DF2F64"/>
    <w:rsid w:val="00E47EB9"/>
    <w:rsid w:val="00EF286B"/>
    <w:rsid w:val="00EF7465"/>
    <w:rsid w:val="00F5064A"/>
    <w:rsid w:val="00FB5247"/>
    <w:rsid w:val="01881C21"/>
    <w:rsid w:val="02E230B9"/>
    <w:rsid w:val="095202B3"/>
    <w:rsid w:val="0A371C48"/>
    <w:rsid w:val="0A461E15"/>
    <w:rsid w:val="0C485C65"/>
    <w:rsid w:val="0D1F294F"/>
    <w:rsid w:val="11B52A65"/>
    <w:rsid w:val="127960C2"/>
    <w:rsid w:val="128706BB"/>
    <w:rsid w:val="128C289E"/>
    <w:rsid w:val="13F1430E"/>
    <w:rsid w:val="14461BE1"/>
    <w:rsid w:val="15E118C5"/>
    <w:rsid w:val="182445B5"/>
    <w:rsid w:val="18C44B05"/>
    <w:rsid w:val="1921258C"/>
    <w:rsid w:val="1A86539E"/>
    <w:rsid w:val="1BE0011A"/>
    <w:rsid w:val="1D514A07"/>
    <w:rsid w:val="1D736768"/>
    <w:rsid w:val="1D7764E0"/>
    <w:rsid w:val="1E02384E"/>
    <w:rsid w:val="1E2D7B42"/>
    <w:rsid w:val="202355A8"/>
    <w:rsid w:val="216A31A0"/>
    <w:rsid w:val="21887F99"/>
    <w:rsid w:val="21F32188"/>
    <w:rsid w:val="229365CD"/>
    <w:rsid w:val="22E7596F"/>
    <w:rsid w:val="2605582B"/>
    <w:rsid w:val="27666297"/>
    <w:rsid w:val="28264A04"/>
    <w:rsid w:val="29D84B76"/>
    <w:rsid w:val="2B006436"/>
    <w:rsid w:val="2B8F395A"/>
    <w:rsid w:val="2CD96D87"/>
    <w:rsid w:val="2DF15952"/>
    <w:rsid w:val="2E6C7FCB"/>
    <w:rsid w:val="2E88044F"/>
    <w:rsid w:val="3284589B"/>
    <w:rsid w:val="33100617"/>
    <w:rsid w:val="33CF2B0E"/>
    <w:rsid w:val="364A0050"/>
    <w:rsid w:val="36F9338A"/>
    <w:rsid w:val="37779E60"/>
    <w:rsid w:val="39E9356E"/>
    <w:rsid w:val="39F525A2"/>
    <w:rsid w:val="3A0D5147"/>
    <w:rsid w:val="3BCE22FA"/>
    <w:rsid w:val="3C7B06AE"/>
    <w:rsid w:val="3D6A1B31"/>
    <w:rsid w:val="3F13799B"/>
    <w:rsid w:val="4015034D"/>
    <w:rsid w:val="406010BA"/>
    <w:rsid w:val="43596284"/>
    <w:rsid w:val="43EB701F"/>
    <w:rsid w:val="44BA060E"/>
    <w:rsid w:val="450C2576"/>
    <w:rsid w:val="454063A9"/>
    <w:rsid w:val="474924F5"/>
    <w:rsid w:val="47A66F47"/>
    <w:rsid w:val="48190D72"/>
    <w:rsid w:val="491B16E9"/>
    <w:rsid w:val="49B50C04"/>
    <w:rsid w:val="49F422BC"/>
    <w:rsid w:val="4A4C5543"/>
    <w:rsid w:val="4A856EB6"/>
    <w:rsid w:val="4BB72B70"/>
    <w:rsid w:val="4D765FE4"/>
    <w:rsid w:val="4D7F362E"/>
    <w:rsid w:val="4E1B3885"/>
    <w:rsid w:val="4E465C3F"/>
    <w:rsid w:val="4F670C47"/>
    <w:rsid w:val="553254BE"/>
    <w:rsid w:val="553B4087"/>
    <w:rsid w:val="583020DD"/>
    <w:rsid w:val="592547BC"/>
    <w:rsid w:val="59544026"/>
    <w:rsid w:val="59930F48"/>
    <w:rsid w:val="5AB9755B"/>
    <w:rsid w:val="5AF474F0"/>
    <w:rsid w:val="5B742D21"/>
    <w:rsid w:val="5C0351D3"/>
    <w:rsid w:val="5D973665"/>
    <w:rsid w:val="5EF23C04"/>
    <w:rsid w:val="5EF91413"/>
    <w:rsid w:val="5F567206"/>
    <w:rsid w:val="5F875025"/>
    <w:rsid w:val="60D6222F"/>
    <w:rsid w:val="6217071C"/>
    <w:rsid w:val="62226222"/>
    <w:rsid w:val="62CE02E9"/>
    <w:rsid w:val="632C6B3E"/>
    <w:rsid w:val="633F0072"/>
    <w:rsid w:val="64E07CE5"/>
    <w:rsid w:val="666920D7"/>
    <w:rsid w:val="66F756A1"/>
    <w:rsid w:val="67D94CCC"/>
    <w:rsid w:val="69380B1B"/>
    <w:rsid w:val="6AF15449"/>
    <w:rsid w:val="6C1733E6"/>
    <w:rsid w:val="6CF536F6"/>
    <w:rsid w:val="6F8673D6"/>
    <w:rsid w:val="6FCF75EC"/>
    <w:rsid w:val="70446EA1"/>
    <w:rsid w:val="707537A6"/>
    <w:rsid w:val="71591FCE"/>
    <w:rsid w:val="71F256AB"/>
    <w:rsid w:val="73133AF6"/>
    <w:rsid w:val="736D4488"/>
    <w:rsid w:val="753A5550"/>
    <w:rsid w:val="75B4584A"/>
    <w:rsid w:val="78FDF452"/>
    <w:rsid w:val="79B733A1"/>
    <w:rsid w:val="7B1A1590"/>
    <w:rsid w:val="7BBF2D2E"/>
    <w:rsid w:val="7CEF2B13"/>
    <w:rsid w:val="7D2C3E42"/>
    <w:rsid w:val="7D2F76D5"/>
    <w:rsid w:val="7DAF8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8B5FC4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8B5FC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8B5FC4"/>
    <w:pPr>
      <w:keepNext/>
      <w:keepLines/>
      <w:spacing w:line="312" w:lineRule="auto"/>
      <w:jc w:val="center"/>
      <w:outlineLvl w:val="1"/>
    </w:pPr>
    <w:rPr>
      <w:rFonts w:ascii="Cambria" w:hAnsi="Cambria" w:cs="宋体"/>
      <w:b/>
      <w:bCs/>
      <w:sz w:val="36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eastAsia="宋体" w:hAnsi="Cambria" w:cs="Times New Roman"/>
      <w:b/>
      <w:bCs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8B5FC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B5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autoRedefine/>
    <w:uiPriority w:val="99"/>
    <w:rsid w:val="008B5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8B5FC4"/>
    <w:rPr>
      <w:rFonts w:ascii="黑体" w:eastAsia="黑体" w:hAnsi="黑体" w:cs="黑体"/>
    </w:rPr>
  </w:style>
  <w:style w:type="paragraph" w:styleId="Subtitle">
    <w:name w:val="Subtitle"/>
    <w:basedOn w:val="Normal"/>
    <w:next w:val="Normal"/>
    <w:link w:val="SubtitleChar"/>
    <w:autoRedefine/>
    <w:uiPriority w:val="99"/>
    <w:qFormat/>
    <w:rsid w:val="008B5FC4"/>
    <w:pPr>
      <w:ind w:firstLineChars="200" w:firstLine="200"/>
      <w:jc w:val="left"/>
      <w:outlineLvl w:val="2"/>
    </w:pPr>
    <w:rPr>
      <w:rFonts w:ascii="Cambria" w:eastAsia="黑体" w:hAnsi="Cambria"/>
      <w:bCs/>
      <w:kern w:val="28"/>
      <w:sz w:val="28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NormalWeb">
    <w:name w:val="Normal (Web)"/>
    <w:basedOn w:val="Normal"/>
    <w:autoRedefine/>
    <w:uiPriority w:val="99"/>
    <w:rsid w:val="008B5FC4"/>
    <w:pPr>
      <w:spacing w:before="100" w:beforeAutospacing="1" w:after="100" w:afterAutospacing="1"/>
      <w:jc w:val="left"/>
    </w:pPr>
    <w:rPr>
      <w:kern w:val="0"/>
      <w:sz w:val="24"/>
      <w:szCs w:val="20"/>
    </w:rPr>
  </w:style>
  <w:style w:type="paragraph" w:styleId="BodyTextFirstIndent">
    <w:name w:val="Body Text First Indent"/>
    <w:basedOn w:val="BodyText"/>
    <w:link w:val="BodyTextFirstIndentChar"/>
    <w:autoRedefine/>
    <w:uiPriority w:val="99"/>
    <w:rsid w:val="008B5FC4"/>
    <w:pPr>
      <w:ind w:firstLine="66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</w:style>
  <w:style w:type="character" w:styleId="PageNumber">
    <w:name w:val="page number"/>
    <w:basedOn w:val="DefaultParagraphFont"/>
    <w:uiPriority w:val="99"/>
    <w:rsid w:val="008B5FC4"/>
    <w:rPr>
      <w:rFonts w:cs="Times New Roman"/>
    </w:rPr>
  </w:style>
  <w:style w:type="paragraph" w:customStyle="1" w:styleId="BodyText1I2">
    <w:name w:val="BodyText1I2"/>
    <w:basedOn w:val="BodyTextIndent"/>
    <w:autoRedefine/>
    <w:uiPriority w:val="99"/>
    <w:rsid w:val="008B5FC4"/>
    <w:pPr>
      <w:ind w:firstLine="420"/>
    </w:pPr>
  </w:style>
  <w:style w:type="paragraph" w:customStyle="1" w:styleId="BodyTextIndent">
    <w:name w:val="BodyTextIndent"/>
    <w:basedOn w:val="Normal"/>
    <w:autoRedefine/>
    <w:uiPriority w:val="99"/>
    <w:rsid w:val="008B5FC4"/>
    <w:pPr>
      <w:spacing w:after="120"/>
      <w:ind w:leftChars="200" w:left="420" w:firstLineChars="200" w:firstLine="200"/>
      <w:textAlignment w:val="baseline"/>
    </w:pPr>
  </w:style>
  <w:style w:type="paragraph" w:customStyle="1" w:styleId="Default">
    <w:name w:val="Default"/>
    <w:autoRedefine/>
    <w:uiPriority w:val="99"/>
    <w:rsid w:val="008B5FC4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paragraph" w:customStyle="1" w:styleId="1">
    <w:name w:val="无间隔1"/>
    <w:autoRedefine/>
    <w:uiPriority w:val="99"/>
    <w:rsid w:val="008B5FC4"/>
    <w:pPr>
      <w:widowControl w:val="0"/>
      <w:spacing w:beforeLines="50"/>
      <w:jc w:val="center"/>
    </w:pPr>
    <w:rPr>
      <w:rFonts w:eastAsia="仿宋_GB2312"/>
      <w:sz w:val="24"/>
    </w:rPr>
  </w:style>
  <w:style w:type="paragraph" w:customStyle="1" w:styleId="a">
    <w:name w:val="无缩进"/>
    <w:basedOn w:val="Normal"/>
    <w:autoRedefine/>
    <w:uiPriority w:val="99"/>
    <w:rsid w:val="008B5FC4"/>
    <w:pPr>
      <w:spacing w:line="312" w:lineRule="auto"/>
    </w:pPr>
    <w:rPr>
      <w:sz w:val="24"/>
      <w:szCs w:val="22"/>
    </w:rPr>
  </w:style>
  <w:style w:type="paragraph" w:customStyle="1" w:styleId="10">
    <w:name w:val="列出段落1"/>
    <w:basedOn w:val="Normal"/>
    <w:autoRedefine/>
    <w:uiPriority w:val="99"/>
    <w:rsid w:val="008B5FC4"/>
    <w:pPr>
      <w:ind w:firstLineChars="200" w:firstLine="420"/>
    </w:pPr>
  </w:style>
  <w:style w:type="paragraph" w:customStyle="1" w:styleId="ListParagraph1">
    <w:name w:val="List Paragraph1"/>
    <w:basedOn w:val="Normal"/>
    <w:autoRedefine/>
    <w:uiPriority w:val="99"/>
    <w:rsid w:val="008B5FC4"/>
    <w:pPr>
      <w:ind w:firstLineChars="200" w:firstLine="420"/>
    </w:pPr>
    <w:rPr>
      <w:rFonts w:ascii="Calibri" w:hAnsi="Calibri"/>
      <w:szCs w:val="22"/>
    </w:rPr>
  </w:style>
  <w:style w:type="character" w:customStyle="1" w:styleId="font61">
    <w:name w:val="font61"/>
    <w:basedOn w:val="DefaultParagraphFont"/>
    <w:uiPriority w:val="99"/>
    <w:rsid w:val="008B5FC4"/>
    <w:rPr>
      <w:rFonts w:ascii="Times New Roman" w:hAnsi="Times New Roman" w:cs="Times New Roman"/>
      <w:b/>
      <w:color w:val="000000"/>
      <w:sz w:val="28"/>
      <w:szCs w:val="28"/>
      <w:u w:val="none"/>
    </w:rPr>
  </w:style>
  <w:style w:type="character" w:customStyle="1" w:styleId="font121">
    <w:name w:val="font121"/>
    <w:basedOn w:val="DefaultParagraphFont"/>
    <w:uiPriority w:val="99"/>
    <w:rsid w:val="008B5FC4"/>
    <w:rPr>
      <w:rFonts w:ascii="Times New Roman" w:hAnsi="Times New Roman" w:cs="Times New Roman"/>
      <w:color w:val="000000"/>
      <w:sz w:val="20"/>
      <w:szCs w:val="20"/>
      <w:u w:val="none"/>
    </w:rPr>
  </w:style>
  <w:style w:type="character" w:customStyle="1" w:styleId="font11">
    <w:name w:val="font11"/>
    <w:basedOn w:val="DefaultParagraphFont"/>
    <w:uiPriority w:val="99"/>
    <w:rsid w:val="008B5FC4"/>
    <w:rPr>
      <w:rFonts w:ascii="宋体" w:eastAsia="宋体" w:hAnsi="宋体" w:cs="宋体"/>
      <w:color w:val="000000"/>
      <w:sz w:val="20"/>
      <w:szCs w:val="20"/>
      <w:u w:val="none"/>
    </w:rPr>
  </w:style>
  <w:style w:type="character" w:customStyle="1" w:styleId="font131">
    <w:name w:val="font131"/>
    <w:basedOn w:val="DefaultParagraphFont"/>
    <w:uiPriority w:val="99"/>
    <w:rsid w:val="008B5FC4"/>
    <w:rPr>
      <w:rFonts w:ascii="宋体" w:eastAsia="宋体" w:hAnsi="宋体" w:cs="宋体"/>
      <w:color w:val="000000"/>
      <w:sz w:val="18"/>
      <w:szCs w:val="18"/>
      <w:u w:val="none"/>
    </w:rPr>
  </w:style>
  <w:style w:type="character" w:customStyle="1" w:styleId="font141">
    <w:name w:val="font141"/>
    <w:basedOn w:val="DefaultParagraphFont"/>
    <w:uiPriority w:val="99"/>
    <w:rsid w:val="008B5FC4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font101">
    <w:name w:val="font101"/>
    <w:basedOn w:val="DefaultParagraphFont"/>
    <w:uiPriority w:val="99"/>
    <w:rsid w:val="008B5FC4"/>
    <w:rPr>
      <w:rFonts w:ascii="宋体" w:eastAsia="宋体" w:hAnsi="宋体" w:cs="宋体"/>
      <w:color w:val="000000"/>
      <w:sz w:val="24"/>
      <w:szCs w:val="24"/>
      <w:u w:val="none"/>
    </w:rPr>
  </w:style>
  <w:style w:type="paragraph" w:customStyle="1" w:styleId="Other1">
    <w:name w:val="Other|1"/>
    <w:basedOn w:val="Normal"/>
    <w:autoRedefine/>
    <w:uiPriority w:val="99"/>
    <w:rsid w:val="008B5FC4"/>
    <w:pPr>
      <w:spacing w:line="238" w:lineRule="exact"/>
    </w:pPr>
    <w:rPr>
      <w:rFonts w:ascii="宋体" w:hAnsi="宋体" w:cs="宋体"/>
      <w:color w:val="1D1433"/>
      <w:sz w:val="20"/>
      <w:szCs w:val="20"/>
      <w:lang w:val="zh-TW"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207</Words>
  <Characters>1184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greatwall</dc:creator>
  <cp:keywords/>
  <dc:description/>
  <cp:lastModifiedBy>PC</cp:lastModifiedBy>
  <cp:revision>4</cp:revision>
  <cp:lastPrinted>2024-06-19T01:30:00Z</cp:lastPrinted>
  <dcterms:created xsi:type="dcterms:W3CDTF">2025-04-23T07:52:00Z</dcterms:created>
  <dcterms:modified xsi:type="dcterms:W3CDTF">2025-04-24T08:47:00Z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C0852127BC28467AB1667FE3CA3B323E_13</vt:lpwstr>
  </property>
  <property fmtid="{D5CDD505-2E9C-101B-9397-08002B2CF9AE}" pid="4" name="commondata">
    <vt:lpwstr>eyJoZGlkIjoiYTYyNDdjODg3NGNlNDkxMWExODY4YWEyMTRmNzM4NmQifQ==</vt:lpwstr>
  </property>
</Properties>
</file>